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0D" w:rsidRDefault="00A26563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CB7155">
        <w:rPr>
          <w:rFonts w:ascii="Helvetica" w:hAnsi="Helvetica" w:cs="Helvetica"/>
          <w:b/>
          <w:sz w:val="20"/>
          <w:szCs w:val="20"/>
        </w:rPr>
        <w:t>Goals:</w:t>
      </w:r>
      <w:r w:rsidR="00CB7155" w:rsidRPr="00CB7155">
        <w:rPr>
          <w:rFonts w:ascii="Helvetica" w:hAnsi="Helvetica" w:cs="Helvetica"/>
          <w:b/>
          <w:sz w:val="20"/>
          <w:szCs w:val="20"/>
        </w:rPr>
        <w:t xml:space="preserve"> </w:t>
      </w:r>
      <w:r w:rsidR="00EE1636" w:rsidRPr="00EE1636">
        <w:rPr>
          <w:rFonts w:ascii="Helvetica" w:hAnsi="Helvetica" w:cs="Helvetica"/>
          <w:sz w:val="20"/>
          <w:szCs w:val="20"/>
        </w:rPr>
        <w:t>Need each major to designate</w:t>
      </w:r>
      <w:r w:rsidR="00EE1636">
        <w:rPr>
          <w:rFonts w:ascii="Helvetica" w:hAnsi="Helvetica" w:cs="Helvetica"/>
          <w:sz w:val="20"/>
          <w:szCs w:val="20"/>
        </w:rPr>
        <w:t xml:space="preserve"> international research components</w:t>
      </w:r>
      <w:r>
        <w:rPr>
          <w:rFonts w:ascii="Helvetica" w:hAnsi="Helvetica" w:cs="Helvetica"/>
          <w:sz w:val="20"/>
          <w:szCs w:val="20"/>
        </w:rPr>
        <w:t xml:space="preserve"> and identify elements suitable for program. Experiences, interests, goals should be clearly linked to major and to GO goals and should be </w:t>
      </w:r>
      <w:r w:rsidR="009B4EF3">
        <w:rPr>
          <w:rFonts w:ascii="Helvetica" w:hAnsi="Helvetica" w:cs="Helvetica"/>
          <w:sz w:val="20"/>
          <w:szCs w:val="20"/>
        </w:rPr>
        <w:t>part</w:t>
      </w:r>
      <w:r>
        <w:rPr>
          <w:rFonts w:ascii="Helvetica" w:hAnsi="Helvetica" w:cs="Helvetica"/>
          <w:sz w:val="20"/>
          <w:szCs w:val="20"/>
        </w:rPr>
        <w:t xml:space="preserve"> of recruiting and early-stage advising.</w:t>
      </w:r>
    </w:p>
    <w:p w:rsidR="00924763" w:rsidRDefault="00924763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:rsidR="00924763" w:rsidRPr="00EE1636" w:rsidRDefault="00A26563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CB7155">
        <w:rPr>
          <w:rFonts w:ascii="Helvetica" w:hAnsi="Helvetica" w:cs="Helvetica"/>
          <w:b/>
          <w:sz w:val="20"/>
          <w:szCs w:val="20"/>
        </w:rPr>
        <w:t xml:space="preserve">Structure: </w:t>
      </w:r>
      <w:r>
        <w:rPr>
          <w:rFonts w:ascii="Helvetica" w:hAnsi="Helvetica" w:cs="Helvetica"/>
          <w:sz w:val="20"/>
          <w:szCs w:val="20"/>
        </w:rPr>
        <w:t>Participate in</w:t>
      </w:r>
      <w:r w:rsidR="00924763" w:rsidRPr="00CB7155">
        <w:rPr>
          <w:rFonts w:ascii="Helvetica" w:hAnsi="Helvetica" w:cs="Helvetica"/>
          <w:b/>
          <w:sz w:val="20"/>
          <w:szCs w:val="20"/>
        </w:rPr>
        <w:t xml:space="preserve"> X of Y experiences</w:t>
      </w:r>
      <w:r w:rsidR="00A10DDE" w:rsidRPr="00CB7155">
        <w:rPr>
          <w:rFonts w:ascii="Helvetica" w:hAnsi="Helvetica" w:cs="Helvetica"/>
          <w:b/>
          <w:sz w:val="20"/>
          <w:szCs w:val="20"/>
        </w:rPr>
        <w:t xml:space="preserve"> (# credits?)</w:t>
      </w:r>
      <w:bookmarkStart w:id="0" w:name="_GoBack"/>
      <w:bookmarkEnd w:id="0"/>
      <w:r w:rsidR="00924763">
        <w:rPr>
          <w:rFonts w:ascii="Helvetica" w:hAnsi="Helvetica" w:cs="Helvetica"/>
          <w:sz w:val="20"/>
          <w:szCs w:val="20"/>
        </w:rPr>
        <w:t>. Have coherence among the elements</w:t>
      </w:r>
      <w:r w:rsidR="002C4EE4">
        <w:rPr>
          <w:rFonts w:ascii="Helvetica" w:hAnsi="Helvetica" w:cs="Helvetica"/>
          <w:sz w:val="20"/>
          <w:szCs w:val="20"/>
        </w:rPr>
        <w:t xml:space="preserve">. </w:t>
      </w:r>
    </w:p>
    <w:p w:rsidR="00EE1636" w:rsidRDefault="00EE1636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  <w:u w:val="single"/>
        </w:rPr>
      </w:pPr>
    </w:p>
    <w:p w:rsidR="00A26563" w:rsidRPr="00924763" w:rsidRDefault="00195DE0" w:rsidP="00A26563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proofErr w:type="gramStart"/>
      <w:r w:rsidRPr="00CB7155">
        <w:rPr>
          <w:rFonts w:ascii="Helvetica" w:hAnsi="Helvetica" w:cs="Helvetica"/>
          <w:sz w:val="20"/>
          <w:szCs w:val="20"/>
          <w:u w:val="single"/>
        </w:rPr>
        <w:t>Proficiency in language.</w:t>
      </w:r>
      <w:proofErr w:type="gramEnd"/>
      <w:r>
        <w:rPr>
          <w:rFonts w:ascii="Helvetica" w:hAnsi="Helvetica" w:cs="Helvetica"/>
          <w:b/>
          <w:sz w:val="20"/>
          <w:szCs w:val="20"/>
        </w:rPr>
        <w:t xml:space="preserve"> </w:t>
      </w:r>
      <w:r w:rsidR="00A26563">
        <w:rPr>
          <w:rFonts w:ascii="Helvetica" w:hAnsi="Helvetica" w:cs="Helvetica"/>
          <w:sz w:val="20"/>
          <w:szCs w:val="20"/>
        </w:rPr>
        <w:t>If you choose this option, has to be non-natal language or non- English.</w:t>
      </w:r>
    </w:p>
    <w:p w:rsidR="00195DE0" w:rsidRDefault="00A26563" w:rsidP="00A26563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924763">
        <w:rPr>
          <w:rFonts w:ascii="Helvetica" w:hAnsi="Helvetica" w:cs="Helvetica"/>
          <w:sz w:val="20"/>
          <w:szCs w:val="20"/>
        </w:rPr>
        <w:t xml:space="preserve"> </w:t>
      </w:r>
      <w:r w:rsidR="00924763" w:rsidRPr="00924763">
        <w:rPr>
          <w:rFonts w:ascii="Helvetica" w:hAnsi="Helvetica" w:cs="Helvetica"/>
          <w:sz w:val="20"/>
          <w:szCs w:val="20"/>
        </w:rPr>
        <w:t>(</w:t>
      </w:r>
      <w:proofErr w:type="gramStart"/>
      <w:r>
        <w:rPr>
          <w:rFonts w:ascii="Helvetica" w:hAnsi="Helvetica" w:cs="Helvetica"/>
          <w:sz w:val="20"/>
          <w:szCs w:val="20"/>
        </w:rPr>
        <w:t>would</w:t>
      </w:r>
      <w:proofErr w:type="gramEnd"/>
      <w:r>
        <w:rPr>
          <w:rFonts w:ascii="Helvetica" w:hAnsi="Helvetica" w:cs="Helvetica"/>
          <w:sz w:val="20"/>
          <w:szCs w:val="20"/>
        </w:rPr>
        <w:t xml:space="preserve"> need to choose other elements if </w:t>
      </w:r>
      <w:r w:rsidR="00E636F5">
        <w:rPr>
          <w:rFonts w:ascii="Helvetica" w:hAnsi="Helvetica" w:cs="Helvetica"/>
          <w:sz w:val="20"/>
          <w:szCs w:val="20"/>
        </w:rPr>
        <w:t>in UK</w:t>
      </w:r>
      <w:r w:rsidR="00924763" w:rsidRPr="00924763">
        <w:rPr>
          <w:rFonts w:ascii="Helvetica" w:hAnsi="Helvetica" w:cs="Helvetica"/>
          <w:sz w:val="20"/>
          <w:szCs w:val="20"/>
        </w:rPr>
        <w:t xml:space="preserve">). Transfer proficiency or placement allow them to do this with fewer restraints on scheduling. </w:t>
      </w:r>
    </w:p>
    <w:p w:rsidR="00A26563" w:rsidRDefault="00A26563" w:rsidP="00A26563">
      <w:pPr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</w:p>
    <w:p w:rsidR="00195DE0" w:rsidRPr="00195DE0" w:rsidRDefault="00195DE0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proofErr w:type="gramStart"/>
      <w:r w:rsidRPr="00CB7155">
        <w:rPr>
          <w:rFonts w:ascii="Helvetica" w:hAnsi="Helvetica" w:cs="Helvetica"/>
          <w:sz w:val="20"/>
          <w:szCs w:val="20"/>
          <w:u w:val="single"/>
        </w:rPr>
        <w:t xml:space="preserve">Meaningful, </w:t>
      </w:r>
      <w:r w:rsidR="00A26563" w:rsidRPr="00CB7155">
        <w:rPr>
          <w:rFonts w:ascii="Helvetica" w:hAnsi="Helvetica" w:cs="Helvetica"/>
          <w:sz w:val="20"/>
          <w:szCs w:val="20"/>
          <w:u w:val="single"/>
        </w:rPr>
        <w:t xml:space="preserve">culturally </w:t>
      </w:r>
      <w:r w:rsidRPr="00CB7155">
        <w:rPr>
          <w:rFonts w:ascii="Helvetica" w:hAnsi="Helvetica" w:cs="Helvetica"/>
          <w:sz w:val="20"/>
          <w:szCs w:val="20"/>
          <w:u w:val="single"/>
        </w:rPr>
        <w:t>immersive experience</w:t>
      </w:r>
      <w:r w:rsidR="00A26563" w:rsidRPr="00CB7155">
        <w:rPr>
          <w:rFonts w:ascii="Helvetica" w:hAnsi="Helvetica" w:cs="Helvetica"/>
          <w:sz w:val="20"/>
          <w:szCs w:val="20"/>
          <w:u w:val="single"/>
        </w:rPr>
        <w:t>.</w:t>
      </w:r>
      <w:proofErr w:type="gramEnd"/>
      <w:r w:rsidRPr="00195DE0">
        <w:rPr>
          <w:rFonts w:ascii="Helvetica" w:hAnsi="Helvetica" w:cs="Helvetica"/>
          <w:sz w:val="20"/>
          <w:szCs w:val="20"/>
        </w:rPr>
        <w:t xml:space="preserve"> Interpersonal academic interactions, cultural practices, etc.  Study Abroad or </w:t>
      </w:r>
      <w:r w:rsidR="00E636F5">
        <w:rPr>
          <w:rFonts w:ascii="Helvetica" w:hAnsi="Helvetica" w:cs="Helvetica"/>
          <w:sz w:val="20"/>
          <w:szCs w:val="20"/>
        </w:rPr>
        <w:t>R</w:t>
      </w:r>
      <w:r w:rsidRPr="00195DE0">
        <w:rPr>
          <w:rFonts w:ascii="Helvetica" w:hAnsi="Helvetica" w:cs="Helvetica"/>
          <w:sz w:val="20"/>
          <w:szCs w:val="20"/>
        </w:rPr>
        <w:t>esearch abroad could be expanded to cover this.   If not a credited experience</w:t>
      </w:r>
      <w:r w:rsidR="00E636F5">
        <w:rPr>
          <w:rFonts w:ascii="Helvetica" w:hAnsi="Helvetica" w:cs="Helvetica"/>
          <w:sz w:val="20"/>
          <w:szCs w:val="20"/>
        </w:rPr>
        <w:t xml:space="preserve"> or if an experience that is not inherently cultural,</w:t>
      </w:r>
      <w:r w:rsidRPr="00195DE0">
        <w:rPr>
          <w:rFonts w:ascii="Helvetica" w:hAnsi="Helvetica" w:cs="Helvetica"/>
          <w:sz w:val="20"/>
          <w:szCs w:val="20"/>
        </w:rPr>
        <w:t xml:space="preserve"> there can be some additional component that highlights the cultural practices.  </w:t>
      </w:r>
      <w:r>
        <w:rPr>
          <w:rFonts w:ascii="Helvetica" w:hAnsi="Helvetica" w:cs="Helvetica"/>
          <w:sz w:val="20"/>
          <w:szCs w:val="20"/>
        </w:rPr>
        <w:t>Lab culture</w:t>
      </w:r>
      <w:r w:rsidR="002C4EE4">
        <w:rPr>
          <w:rFonts w:ascii="Helvetica" w:hAnsi="Helvetica" w:cs="Helvetica"/>
          <w:sz w:val="20"/>
          <w:szCs w:val="20"/>
        </w:rPr>
        <w:t xml:space="preserve">. Could be research. </w:t>
      </w:r>
      <w:r>
        <w:rPr>
          <w:rFonts w:ascii="Helvetica" w:hAnsi="Helvetica" w:cs="Helvetica"/>
          <w:sz w:val="20"/>
          <w:szCs w:val="20"/>
        </w:rPr>
        <w:t xml:space="preserve"> </w:t>
      </w:r>
    </w:p>
    <w:p w:rsidR="00195DE0" w:rsidRDefault="00195DE0" w:rsidP="00EB7D0D">
      <w:pPr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</w:p>
    <w:p w:rsidR="00227BED" w:rsidRDefault="00195DE0" w:rsidP="002C4EE4">
      <w:pPr>
        <w:autoSpaceDE w:val="0"/>
        <w:autoSpaceDN w:val="0"/>
        <w:adjustRightInd w:val="0"/>
        <w:ind w:left="720"/>
        <w:rPr>
          <w:rFonts w:ascii="Helvetica" w:hAnsi="Helvetica" w:cs="Helvetica"/>
          <w:sz w:val="20"/>
          <w:szCs w:val="20"/>
        </w:rPr>
      </w:pPr>
      <w:r w:rsidRPr="00195DE0">
        <w:rPr>
          <w:rFonts w:ascii="Helvetica" w:hAnsi="Helvetica" w:cs="Helvetica"/>
          <w:b/>
          <w:sz w:val="20"/>
          <w:szCs w:val="20"/>
        </w:rPr>
        <w:t>What about kids who can’t go abroad?</w:t>
      </w:r>
      <w:r>
        <w:rPr>
          <w:rFonts w:ascii="Helvetica" w:hAnsi="Helvetica" w:cs="Helvetica"/>
          <w:sz w:val="20"/>
          <w:szCs w:val="20"/>
        </w:rPr>
        <w:t xml:space="preserve">  </w:t>
      </w:r>
      <w:r w:rsidR="00EE1636" w:rsidRPr="00EE1636">
        <w:rPr>
          <w:rFonts w:ascii="Helvetica" w:hAnsi="Helvetica" w:cs="Helvetica"/>
          <w:sz w:val="20"/>
          <w:szCs w:val="20"/>
        </w:rPr>
        <w:t>Meaningful cultural or international experience</w:t>
      </w:r>
      <w:r w:rsidR="00EE1636">
        <w:rPr>
          <w:rFonts w:ascii="Helvetica" w:hAnsi="Helvetica" w:cs="Helvetica"/>
          <w:sz w:val="20"/>
          <w:szCs w:val="20"/>
        </w:rPr>
        <w:t xml:space="preserve"> (clinic or program for non-English speakers)—service learning</w:t>
      </w:r>
      <w:r>
        <w:rPr>
          <w:rFonts w:ascii="Helvetica" w:hAnsi="Helvetica" w:cs="Helvetica"/>
          <w:sz w:val="20"/>
          <w:szCs w:val="20"/>
        </w:rPr>
        <w:t xml:space="preserve"> style?</w:t>
      </w:r>
      <w:r w:rsidR="00EE1636">
        <w:rPr>
          <w:rFonts w:ascii="Helvetica" w:hAnsi="Helvetica" w:cs="Helvetica"/>
          <w:sz w:val="20"/>
          <w:szCs w:val="20"/>
        </w:rPr>
        <w:t xml:space="preserve">  Offer a menu of volunteer, service learning options.  Communities of Faith—organize </w:t>
      </w:r>
      <w:r w:rsidR="00A26563">
        <w:rPr>
          <w:rFonts w:ascii="Helvetica" w:hAnsi="Helvetica" w:cs="Helvetica"/>
          <w:sz w:val="20"/>
          <w:szCs w:val="20"/>
        </w:rPr>
        <w:t xml:space="preserve">e.g., </w:t>
      </w:r>
      <w:r w:rsidR="00EE1636">
        <w:rPr>
          <w:rFonts w:ascii="Helvetica" w:hAnsi="Helvetica" w:cs="Helvetica"/>
          <w:sz w:val="20"/>
          <w:szCs w:val="20"/>
        </w:rPr>
        <w:t>science fair or provide some outreach content relevant to the field or study (</w:t>
      </w:r>
      <w:r w:rsidR="00A26563">
        <w:rPr>
          <w:rFonts w:ascii="Helvetica" w:hAnsi="Helvetica" w:cs="Helvetica"/>
          <w:sz w:val="20"/>
          <w:szCs w:val="20"/>
        </w:rPr>
        <w:t>prefer students to be engaged in exchange, not just doing their own thing on this platform—not “missionary-style”</w:t>
      </w:r>
      <w:r w:rsidR="009B4EF3">
        <w:rPr>
          <w:rFonts w:ascii="Helvetica" w:hAnsi="Helvetica" w:cs="Helvetica"/>
          <w:sz w:val="20"/>
          <w:szCs w:val="20"/>
        </w:rPr>
        <w:t xml:space="preserve"> but for them to serve and learn</w:t>
      </w:r>
      <w:r w:rsidR="00EE1636">
        <w:rPr>
          <w:rFonts w:ascii="Helvetica" w:hAnsi="Helvetica" w:cs="Helvetica"/>
          <w:sz w:val="20"/>
          <w:szCs w:val="20"/>
        </w:rPr>
        <w:t xml:space="preserve">)?  Serving </w:t>
      </w:r>
      <w:r w:rsidR="00A26563">
        <w:rPr>
          <w:rFonts w:ascii="Helvetica" w:hAnsi="Helvetica" w:cs="Helvetica"/>
          <w:sz w:val="20"/>
          <w:szCs w:val="20"/>
        </w:rPr>
        <w:t xml:space="preserve">foreign </w:t>
      </w:r>
      <w:r w:rsidR="00EE1636">
        <w:rPr>
          <w:rFonts w:ascii="Helvetica" w:hAnsi="Helvetica" w:cs="Helvetica"/>
          <w:sz w:val="20"/>
          <w:szCs w:val="20"/>
        </w:rPr>
        <w:t>student organizations (tutoring services?</w:t>
      </w:r>
      <w:r w:rsidR="00A26563">
        <w:rPr>
          <w:rFonts w:ascii="Helvetica" w:hAnsi="Helvetica" w:cs="Helvetica"/>
          <w:sz w:val="20"/>
          <w:szCs w:val="20"/>
        </w:rPr>
        <w:t xml:space="preserve"> How to make this relevant to the major in STEM?</w:t>
      </w:r>
      <w:r w:rsidR="00EE1636">
        <w:rPr>
          <w:rFonts w:ascii="Helvetica" w:hAnsi="Helvetica" w:cs="Helvetica"/>
          <w:sz w:val="20"/>
          <w:szCs w:val="20"/>
        </w:rPr>
        <w:t xml:space="preserve">) </w:t>
      </w:r>
      <w:r w:rsidR="00A26563">
        <w:rPr>
          <w:rFonts w:ascii="Helvetica" w:hAnsi="Helvetica" w:cs="Helvetica"/>
          <w:sz w:val="20"/>
          <w:szCs w:val="20"/>
        </w:rPr>
        <w:t>Translate interpretative</w:t>
      </w:r>
      <w:r w:rsidR="00227BED">
        <w:rPr>
          <w:rFonts w:ascii="Helvetica" w:hAnsi="Helvetica" w:cs="Helvetica"/>
          <w:sz w:val="20"/>
          <w:szCs w:val="20"/>
        </w:rPr>
        <w:t xml:space="preserve"> materials into Spanish, etc?  Serve Gateway project to develop connections with scientific programming in gateway cities/regions? </w:t>
      </w:r>
    </w:p>
    <w:p w:rsidR="00227BED" w:rsidRDefault="00227BED" w:rsidP="002C4EE4">
      <w:pPr>
        <w:autoSpaceDE w:val="0"/>
        <w:autoSpaceDN w:val="0"/>
        <w:adjustRightInd w:val="0"/>
        <w:ind w:left="720"/>
        <w:rPr>
          <w:rFonts w:ascii="Helvetica" w:hAnsi="Helvetica" w:cs="Helvetica"/>
          <w:sz w:val="20"/>
          <w:szCs w:val="20"/>
        </w:rPr>
      </w:pPr>
    </w:p>
    <w:p w:rsidR="00EE1636" w:rsidRDefault="00227BED" w:rsidP="00227BE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All immersive experiences will include s</w:t>
      </w:r>
      <w:r w:rsidR="00A26563">
        <w:rPr>
          <w:rFonts w:ascii="Helvetica" w:hAnsi="Helvetica" w:cs="Helvetica"/>
          <w:sz w:val="20"/>
          <w:szCs w:val="20"/>
        </w:rPr>
        <w:t>ome reflection on the experience. Should/Could count this towards the GE category.</w:t>
      </w:r>
      <w:r w:rsidR="00EE1636">
        <w:rPr>
          <w:rFonts w:ascii="Helvetica" w:hAnsi="Helvetica" w:cs="Helvetica"/>
          <w:sz w:val="20"/>
          <w:szCs w:val="20"/>
        </w:rPr>
        <w:t xml:space="preserve"> Needs to be sustained (at least one term) and “listening” focused</w:t>
      </w:r>
      <w:r w:rsidR="00195DE0">
        <w:rPr>
          <w:rFonts w:ascii="Helvetica" w:hAnsi="Helvetica" w:cs="Helvetica"/>
          <w:sz w:val="20"/>
          <w:szCs w:val="20"/>
        </w:rPr>
        <w:t xml:space="preserve">. </w:t>
      </w:r>
      <w:r w:rsidR="00A26563">
        <w:rPr>
          <w:rFonts w:ascii="Helvetica" w:hAnsi="Helvetica" w:cs="Helvetica"/>
          <w:sz w:val="20"/>
          <w:szCs w:val="20"/>
        </w:rPr>
        <w:t xml:space="preserve">Could be left open ended, such that student generates a proposal; </w:t>
      </w:r>
      <w:r w:rsidR="00195DE0">
        <w:rPr>
          <w:rFonts w:ascii="Helvetica" w:hAnsi="Helvetica" w:cs="Helvetica"/>
          <w:sz w:val="20"/>
          <w:szCs w:val="20"/>
        </w:rPr>
        <w:t xml:space="preserve">OIA approves and consults with major. </w:t>
      </w:r>
      <w:r w:rsidR="00A26563">
        <w:rPr>
          <w:rFonts w:ascii="Helvetica" w:hAnsi="Helvetica" w:cs="Helvetica"/>
          <w:sz w:val="20"/>
          <w:szCs w:val="20"/>
        </w:rPr>
        <w:t>OIA c</w:t>
      </w:r>
      <w:r w:rsidR="00195DE0">
        <w:rPr>
          <w:rFonts w:ascii="Helvetica" w:hAnsi="Helvetica" w:cs="Helvetica"/>
          <w:sz w:val="20"/>
          <w:szCs w:val="20"/>
        </w:rPr>
        <w:t xml:space="preserve">an have a data bank of possible projects. </w:t>
      </w:r>
      <w:r w:rsidR="00EE1636">
        <w:rPr>
          <w:rFonts w:ascii="Helvetica" w:hAnsi="Helvetica" w:cs="Helvetica"/>
          <w:sz w:val="20"/>
          <w:szCs w:val="20"/>
        </w:rPr>
        <w:t xml:space="preserve"> </w:t>
      </w:r>
    </w:p>
    <w:p w:rsidR="00195DE0" w:rsidRDefault="00195DE0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:rsidR="00EE1636" w:rsidRDefault="00924763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  <w:u w:val="single"/>
        </w:rPr>
      </w:pPr>
      <w:proofErr w:type="gramStart"/>
      <w:r w:rsidRPr="00CB7155">
        <w:rPr>
          <w:rFonts w:ascii="Helvetica" w:hAnsi="Helvetica" w:cs="Helvetica"/>
          <w:sz w:val="20"/>
          <w:szCs w:val="20"/>
          <w:u w:val="single"/>
        </w:rPr>
        <w:t>Historical, political, cultural perspective on chosen region or country</w:t>
      </w:r>
      <w:r>
        <w:rPr>
          <w:rFonts w:ascii="Helvetica" w:hAnsi="Helvetica" w:cs="Helvetica"/>
          <w:sz w:val="20"/>
          <w:szCs w:val="20"/>
        </w:rPr>
        <w:t xml:space="preserve"> (at least 1</w:t>
      </w:r>
      <w:r w:rsidR="002C4EE4">
        <w:rPr>
          <w:rFonts w:ascii="Helvetica" w:hAnsi="Helvetica" w:cs="Helvetica"/>
          <w:sz w:val="20"/>
          <w:szCs w:val="20"/>
        </w:rPr>
        <w:t xml:space="preserve"> at 2000+ level</w:t>
      </w:r>
      <w:r>
        <w:rPr>
          <w:rFonts w:ascii="Helvetica" w:hAnsi="Helvetica" w:cs="Helvetica"/>
          <w:sz w:val="20"/>
          <w:szCs w:val="20"/>
        </w:rPr>
        <w:t>).</w:t>
      </w:r>
      <w:proofErr w:type="gramEnd"/>
      <w:r>
        <w:rPr>
          <w:rFonts w:ascii="Helvetica" w:hAnsi="Helvetica" w:cs="Helvetica"/>
          <w:sz w:val="20"/>
          <w:szCs w:val="20"/>
        </w:rPr>
        <w:t xml:space="preserve">  Can count as GE towards History, Diversity, etc. </w:t>
      </w:r>
    </w:p>
    <w:p w:rsidR="00924763" w:rsidRDefault="00924763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  <w:u w:val="single"/>
        </w:rPr>
      </w:pPr>
    </w:p>
    <w:p w:rsidR="00EC2EDE" w:rsidRDefault="002C4EE4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 w:rsidRPr="00CB7155">
        <w:rPr>
          <w:rFonts w:ascii="Helvetica" w:hAnsi="Helvetica" w:cs="Helvetica"/>
          <w:sz w:val="20"/>
          <w:szCs w:val="20"/>
          <w:u w:val="single"/>
        </w:rPr>
        <w:t xml:space="preserve">Enroll in a 1 credit class </w:t>
      </w:r>
      <w:r w:rsidR="009A73E0" w:rsidRPr="00CB7155">
        <w:rPr>
          <w:rFonts w:ascii="Helvetica" w:hAnsi="Helvetica" w:cs="Helvetica"/>
          <w:sz w:val="20"/>
          <w:szCs w:val="20"/>
          <w:u w:val="single"/>
        </w:rPr>
        <w:t xml:space="preserve">at the beginning of their experience (freshman year-like Honors) and another 2-credit </w:t>
      </w:r>
      <w:r w:rsidRPr="00CB7155">
        <w:rPr>
          <w:rFonts w:ascii="Helvetica" w:hAnsi="Helvetica" w:cs="Helvetica"/>
          <w:sz w:val="20"/>
          <w:szCs w:val="20"/>
          <w:u w:val="single"/>
        </w:rPr>
        <w:t xml:space="preserve">after global experience (spring) </w:t>
      </w:r>
      <w:proofErr w:type="gramStart"/>
      <w:r w:rsidR="009A73E0" w:rsidRPr="009A73E0">
        <w:rPr>
          <w:rFonts w:ascii="Helvetica" w:hAnsi="Helvetica" w:cs="Helvetica"/>
          <w:sz w:val="20"/>
          <w:szCs w:val="20"/>
        </w:rPr>
        <w:t>The</w:t>
      </w:r>
      <w:proofErr w:type="gramEnd"/>
      <w:r w:rsidR="009A73E0" w:rsidRPr="009A73E0">
        <w:rPr>
          <w:rFonts w:ascii="Helvetica" w:hAnsi="Helvetica" w:cs="Helvetica"/>
          <w:sz w:val="20"/>
          <w:szCs w:val="20"/>
        </w:rPr>
        <w:t xml:space="preserve"> beginning experience class could be taught by OIA staff and is analogous to the advising class that students take.</w:t>
      </w:r>
      <w:r w:rsidR="009A73E0">
        <w:rPr>
          <w:rFonts w:ascii="Helvetica" w:hAnsi="Helvetica" w:cs="Helvetica"/>
          <w:sz w:val="20"/>
          <w:szCs w:val="20"/>
        </w:rPr>
        <w:t xml:space="preserve">  Or as a freshman seminar co-taught by faculty and staff?  </w:t>
      </w:r>
      <w:r w:rsidR="009A73E0" w:rsidRPr="009A73E0">
        <w:rPr>
          <w:rFonts w:ascii="Helvetica" w:hAnsi="Helvetica" w:cs="Helvetica"/>
          <w:sz w:val="20"/>
          <w:szCs w:val="20"/>
        </w:rPr>
        <w:t>T</w:t>
      </w:r>
      <w:r w:rsidR="008C29A0">
        <w:rPr>
          <w:rFonts w:ascii="Helvetica" w:hAnsi="Helvetica" w:cs="Helvetica"/>
          <w:sz w:val="20"/>
          <w:szCs w:val="20"/>
        </w:rPr>
        <w:t xml:space="preserve">hat corrals all the students </w:t>
      </w:r>
      <w:r w:rsidRPr="009A73E0">
        <w:rPr>
          <w:rFonts w:ascii="Helvetica" w:hAnsi="Helvetica" w:cs="Helvetica"/>
          <w:sz w:val="20"/>
          <w:szCs w:val="20"/>
        </w:rPr>
        <w:t>who have completed the</w:t>
      </w:r>
      <w:r w:rsidR="00A26563">
        <w:rPr>
          <w:rFonts w:ascii="Helvetica" w:hAnsi="Helvetica" w:cs="Helvetica"/>
          <w:sz w:val="20"/>
          <w:szCs w:val="20"/>
        </w:rPr>
        <w:t xml:space="preserve"> </w:t>
      </w:r>
      <w:r w:rsidRPr="009A73E0">
        <w:rPr>
          <w:rFonts w:ascii="Helvetica" w:hAnsi="Helvetica" w:cs="Helvetica"/>
          <w:sz w:val="20"/>
          <w:szCs w:val="20"/>
        </w:rPr>
        <w:t xml:space="preserve">competencies. CLCC is a good option for this.  </w:t>
      </w:r>
      <w:r w:rsidR="009B4EF3">
        <w:rPr>
          <w:rFonts w:ascii="Helvetica" w:hAnsi="Helvetica" w:cs="Helvetica"/>
          <w:sz w:val="20"/>
          <w:szCs w:val="20"/>
        </w:rPr>
        <w:t>Help them to c</w:t>
      </w:r>
      <w:r w:rsidRPr="009A73E0">
        <w:rPr>
          <w:rFonts w:ascii="Helvetica" w:hAnsi="Helvetica" w:cs="Helvetica"/>
          <w:sz w:val="20"/>
          <w:szCs w:val="20"/>
        </w:rPr>
        <w:t xml:space="preserve">onnect dots between the courses and the experiences. </w:t>
      </w:r>
      <w:r w:rsidR="009B4EF3">
        <w:rPr>
          <w:rFonts w:ascii="Helvetica" w:hAnsi="Helvetica" w:cs="Helvetica"/>
          <w:sz w:val="20"/>
          <w:szCs w:val="20"/>
        </w:rPr>
        <w:t xml:space="preserve">This is analogous to the “Academic experience” in the Fisher example. </w:t>
      </w:r>
    </w:p>
    <w:p w:rsidR="00EC2EDE" w:rsidRDefault="00EC2EDE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</w:p>
    <w:p w:rsidR="00A26563" w:rsidRPr="00A26563" w:rsidRDefault="00EC2EDE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Big issue for this program is to </w:t>
      </w:r>
      <w:r w:rsidR="009B4EF3">
        <w:rPr>
          <w:rFonts w:ascii="Helvetica" w:hAnsi="Helvetica" w:cs="Helvetica"/>
          <w:sz w:val="20"/>
          <w:szCs w:val="20"/>
        </w:rPr>
        <w:t>understand</w:t>
      </w:r>
      <w:r>
        <w:rPr>
          <w:rFonts w:ascii="Helvetica" w:hAnsi="Helvetica" w:cs="Helvetica"/>
          <w:sz w:val="20"/>
          <w:szCs w:val="20"/>
        </w:rPr>
        <w:t xml:space="preserve"> and then articulate w</w:t>
      </w:r>
      <w:r w:rsidR="00A26563" w:rsidRPr="00A26563">
        <w:rPr>
          <w:rFonts w:ascii="Helvetica" w:hAnsi="Helvetica" w:cs="Helvetica"/>
          <w:sz w:val="20"/>
          <w:szCs w:val="20"/>
        </w:rPr>
        <w:t xml:space="preserve">hat </w:t>
      </w:r>
      <w:r>
        <w:rPr>
          <w:rFonts w:ascii="Helvetica" w:hAnsi="Helvetica" w:cs="Helvetica"/>
          <w:sz w:val="20"/>
          <w:szCs w:val="20"/>
        </w:rPr>
        <w:t xml:space="preserve">it </w:t>
      </w:r>
      <w:r w:rsidR="00A26563" w:rsidRPr="00A26563">
        <w:rPr>
          <w:rFonts w:ascii="Helvetica" w:hAnsi="Helvetica" w:cs="Helvetica"/>
          <w:sz w:val="20"/>
          <w:szCs w:val="20"/>
        </w:rPr>
        <w:t>mean</w:t>
      </w:r>
      <w:r>
        <w:rPr>
          <w:rFonts w:ascii="Helvetica" w:hAnsi="Helvetica" w:cs="Helvetica"/>
          <w:sz w:val="20"/>
          <w:szCs w:val="20"/>
        </w:rPr>
        <w:t>s</w:t>
      </w:r>
      <w:r w:rsidR="00A26563" w:rsidRPr="00A26563">
        <w:rPr>
          <w:rFonts w:ascii="Helvetica" w:hAnsi="Helvetica" w:cs="Helvetica"/>
          <w:sz w:val="20"/>
          <w:szCs w:val="20"/>
        </w:rPr>
        <w:t xml:space="preserve"> to have a globally-informed </w:t>
      </w:r>
      <w:r w:rsidR="00A26563">
        <w:rPr>
          <w:rFonts w:ascii="Helvetica" w:hAnsi="Helvetica" w:cs="Helvetica"/>
          <w:sz w:val="20"/>
          <w:szCs w:val="20"/>
        </w:rPr>
        <w:t>major in STEM fields?  What are the overlap/points of contact between these majors and Global issues?</w:t>
      </w:r>
      <w:r>
        <w:rPr>
          <w:rFonts w:ascii="Helvetica" w:hAnsi="Helvetica" w:cs="Helvetica"/>
          <w:sz w:val="20"/>
          <w:szCs w:val="20"/>
        </w:rPr>
        <w:t xml:space="preserve"> Funding of research</w:t>
      </w:r>
      <w:r w:rsidR="008C29A0">
        <w:rPr>
          <w:rFonts w:ascii="Helvetica" w:hAnsi="Helvetica" w:cs="Helvetica"/>
          <w:sz w:val="20"/>
          <w:szCs w:val="20"/>
        </w:rPr>
        <w:t>/education</w:t>
      </w:r>
      <w:r>
        <w:rPr>
          <w:rFonts w:ascii="Helvetica" w:hAnsi="Helvetica" w:cs="Helvetica"/>
          <w:sz w:val="20"/>
          <w:szCs w:val="20"/>
        </w:rPr>
        <w:t>, regulation of research, practice and implementation of application of field (energy, conservation, medicine); natural resources</w:t>
      </w:r>
      <w:r w:rsidR="008C29A0">
        <w:rPr>
          <w:rFonts w:ascii="Helvetica" w:hAnsi="Helvetica" w:cs="Helvetica"/>
          <w:sz w:val="20"/>
          <w:szCs w:val="20"/>
        </w:rPr>
        <w:t>, history of field</w:t>
      </w:r>
      <w:r>
        <w:rPr>
          <w:rFonts w:ascii="Helvetica" w:hAnsi="Helvetica" w:cs="Helvetica"/>
          <w:sz w:val="20"/>
          <w:szCs w:val="20"/>
        </w:rPr>
        <w:t xml:space="preserve">. </w:t>
      </w:r>
    </w:p>
    <w:p w:rsidR="00A26563" w:rsidRDefault="00A26563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  <w:u w:val="single"/>
        </w:rPr>
      </w:pPr>
    </w:p>
    <w:p w:rsidR="00A26563" w:rsidRPr="00CB7155" w:rsidRDefault="00CB7155" w:rsidP="00EB7D0D">
      <w:pPr>
        <w:autoSpaceDE w:val="0"/>
        <w:autoSpaceDN w:val="0"/>
        <w:adjustRightInd w:val="0"/>
        <w:rPr>
          <w:rFonts w:ascii="Helvetica" w:hAnsi="Helvetica" w:cs="Helvetica"/>
          <w:b/>
          <w:sz w:val="20"/>
          <w:szCs w:val="20"/>
        </w:rPr>
      </w:pPr>
      <w:r w:rsidRPr="00CB7155">
        <w:rPr>
          <w:rFonts w:ascii="Helvetica" w:hAnsi="Helvetica" w:cs="Helvetica"/>
          <w:b/>
          <w:sz w:val="20"/>
          <w:szCs w:val="20"/>
        </w:rPr>
        <w:t>Background information and materials</w:t>
      </w:r>
    </w:p>
    <w:p w:rsidR="00EB7D0D" w:rsidRPr="00EB7D0D" w:rsidRDefault="00EB7D0D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  <w:u w:val="single"/>
        </w:rPr>
      </w:pPr>
      <w:r w:rsidRPr="00EB7D0D">
        <w:rPr>
          <w:rFonts w:ascii="Helvetica" w:hAnsi="Helvetica" w:cs="Helvetica"/>
          <w:sz w:val="20"/>
          <w:szCs w:val="20"/>
          <w:u w:val="single"/>
        </w:rPr>
        <w:t>Goals (per OIA)</w:t>
      </w:r>
    </w:p>
    <w:p w:rsidR="00EB7D0D" w:rsidRDefault="00EB7D0D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Combining major with strong international enhancement</w:t>
      </w:r>
    </w:p>
    <w:p w:rsidR="00EB7D0D" w:rsidRDefault="00EB7D0D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Increasing educational attainment with international experience and global perspectives</w:t>
      </w:r>
    </w:p>
    <w:p w:rsidR="00EB7D0D" w:rsidRDefault="00EB7D0D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Developing a set of global skills</w:t>
      </w:r>
      <w:r>
        <w:rPr>
          <w:rFonts w:ascii="Helvetica" w:hAnsi="Helvetica" w:cs="Helvetica"/>
          <w:sz w:val="13"/>
          <w:szCs w:val="13"/>
        </w:rPr>
        <w:t xml:space="preserve">2 </w:t>
      </w:r>
      <w:r>
        <w:rPr>
          <w:rFonts w:ascii="Helvetica" w:hAnsi="Helvetica" w:cs="Helvetica"/>
          <w:sz w:val="20"/>
          <w:szCs w:val="20"/>
        </w:rPr>
        <w:t>to a higher performance level</w:t>
      </w:r>
    </w:p>
    <w:p w:rsidR="00EB7D0D" w:rsidRDefault="00EB7D0D" w:rsidP="00EB7D0D">
      <w:pPr>
        <w:autoSpaceDE w:val="0"/>
        <w:autoSpaceDN w:val="0"/>
        <w:adjustRightInd w:val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Preparing for a transnational competitive work environment with global challenges</w:t>
      </w:r>
    </w:p>
    <w:p w:rsidR="00325B69" w:rsidRDefault="00EB7D0D" w:rsidP="00EB7D0D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Combining academic achievement with active experience and </w:t>
      </w:r>
      <w:proofErr w:type="spellStart"/>
      <w:r>
        <w:rPr>
          <w:rFonts w:ascii="Helvetica" w:hAnsi="Helvetica" w:cs="Helvetica"/>
          <w:sz w:val="20"/>
          <w:szCs w:val="20"/>
        </w:rPr>
        <w:t>applicati</w:t>
      </w:r>
      <w:proofErr w:type="spellEnd"/>
    </w:p>
    <w:p w:rsidR="00EB7D0D" w:rsidRDefault="00EB7D0D" w:rsidP="00EB7D0D">
      <w:pPr>
        <w:rPr>
          <w:rFonts w:ascii="Helvetica" w:hAnsi="Helvetica" w:cs="Helvetica"/>
          <w:sz w:val="20"/>
          <w:szCs w:val="20"/>
        </w:rPr>
      </w:pPr>
    </w:p>
    <w:p w:rsidR="00EE1636" w:rsidRDefault="00EE1636" w:rsidP="00EB7D0D">
      <w:pPr>
        <w:autoSpaceDE w:val="0"/>
        <w:autoSpaceDN w:val="0"/>
        <w:adjustRightInd w:val="0"/>
        <w:rPr>
          <w:rFonts w:ascii="Calibri" w:hAnsi="Calibri" w:cs="Calibri"/>
        </w:rPr>
      </w:pPr>
    </w:p>
    <w:p w:rsidR="00CB7155" w:rsidRDefault="00CB7155" w:rsidP="00EB7D0D">
      <w:pPr>
        <w:autoSpaceDE w:val="0"/>
        <w:autoSpaceDN w:val="0"/>
        <w:adjustRightInd w:val="0"/>
        <w:rPr>
          <w:rFonts w:ascii="Calibri" w:hAnsi="Calibri" w:cs="Calibri"/>
        </w:rPr>
      </w:pPr>
    </w:p>
    <w:p w:rsidR="00EE1636" w:rsidRDefault="00EE1636" w:rsidP="00EB7D0D">
      <w:pPr>
        <w:autoSpaceDE w:val="0"/>
        <w:autoSpaceDN w:val="0"/>
        <w:adjustRightInd w:val="0"/>
        <w:rPr>
          <w:rFonts w:ascii="Calibri" w:hAnsi="Calibri" w:cs="Calibri"/>
        </w:rPr>
      </w:pP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GO-ENGR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1. Understanding of global cultural diversities and their impact on engineering decisions.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2. Ability to deal with ethical issues arising from cultural or national differences.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3. Proficiency in a second language.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4. Ability to communicate across cultural and linguistic boundaries.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5. Proficiency in working in an ethnically and culturally diverse team.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6. Understanding of the connectedness of the world and the workings of the global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economy</w:t>
      </w:r>
      <w:proofErr w:type="gramEnd"/>
      <w:r>
        <w:rPr>
          <w:rFonts w:ascii="Calibri" w:hAnsi="Calibri" w:cs="Calibri"/>
        </w:rPr>
        <w:t>.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7. Understanding of the international aspects of engineering topics such as supply chain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management</w:t>
      </w:r>
      <w:proofErr w:type="gramEnd"/>
      <w:r>
        <w:rPr>
          <w:rFonts w:ascii="Calibri" w:hAnsi="Calibri" w:cs="Calibri"/>
        </w:rPr>
        <w:t>, intellectual property, liability and risk, market and product design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considerations</w:t>
      </w:r>
      <w:proofErr w:type="gramEnd"/>
      <w:r>
        <w:rPr>
          <w:rFonts w:ascii="Calibri" w:hAnsi="Calibri" w:cs="Calibri"/>
        </w:rPr>
        <w:t>, and business practices.</w:t>
      </w:r>
    </w:p>
    <w:p w:rsidR="00EB7D0D" w:rsidRDefault="00EB7D0D" w:rsidP="00EB7D0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 Familiarity with the history, government, and economic system of several target countries.</w:t>
      </w:r>
    </w:p>
    <w:p w:rsidR="00EB7D0D" w:rsidRDefault="00EB7D0D" w:rsidP="00EB7D0D">
      <w:pPr>
        <w:rPr>
          <w:rFonts w:ascii="Calibri" w:hAnsi="Calibri" w:cs="Calibri"/>
        </w:rPr>
      </w:pPr>
    </w:p>
    <w:p w:rsidR="00EB7D0D" w:rsidRDefault="00CB7155" w:rsidP="00EB7D0D">
      <w:pPr>
        <w:rPr>
          <w:rFonts w:ascii="Calibri" w:hAnsi="Calibri" w:cs="Calibri"/>
        </w:rPr>
      </w:pPr>
      <w:r>
        <w:rPr>
          <w:rFonts w:ascii="Calibri" w:hAnsi="Calibri" w:cs="Calibri"/>
        </w:rPr>
        <w:t>GO-Fisher School</w:t>
      </w:r>
    </w:p>
    <w:p w:rsidR="00EB7D0D" w:rsidRDefault="002C4EE4" w:rsidP="00EB7D0D">
      <w:pPr>
        <w:rPr>
          <w:rFonts w:ascii="Calibri" w:hAnsi="Calibri" w:cs="Calibri"/>
        </w:rPr>
      </w:pPr>
      <w:r w:rsidRPr="00EB7D0D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56515</wp:posOffset>
            </wp:positionV>
            <wp:extent cx="3001010" cy="2202815"/>
            <wp:effectExtent l="0" t="0" r="8890" b="6985"/>
            <wp:wrapTight wrapText="bothSides">
              <wp:wrapPolygon edited="0">
                <wp:start x="0" y="0"/>
                <wp:lineTo x="0" y="21482"/>
                <wp:lineTo x="21527" y="21482"/>
                <wp:lineTo x="215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220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7D0D" w:rsidRPr="00EB7D0D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2743200</wp:posOffset>
            </wp:positionH>
            <wp:positionV relativeFrom="paragraph">
              <wp:posOffset>0</wp:posOffset>
            </wp:positionV>
            <wp:extent cx="3549650" cy="4686300"/>
            <wp:effectExtent l="0" t="0" r="0" b="0"/>
            <wp:wrapTight wrapText="bothSides">
              <wp:wrapPolygon edited="0">
                <wp:start x="0" y="0"/>
                <wp:lineTo x="0" y="21512"/>
                <wp:lineTo x="21445" y="21512"/>
                <wp:lineTo x="2144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65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7D0D" w:rsidRDefault="00EB7D0D" w:rsidP="00EB7D0D">
      <w:pPr>
        <w:rPr>
          <w:rFonts w:ascii="Calibri" w:hAnsi="Calibri" w:cs="Calibri"/>
        </w:rPr>
      </w:pPr>
    </w:p>
    <w:p w:rsidR="00EB7D0D" w:rsidRDefault="00EB7D0D" w:rsidP="00EB7D0D">
      <w:pPr>
        <w:rPr>
          <w:rFonts w:ascii="Calibri" w:hAnsi="Calibri" w:cs="Calibri"/>
        </w:rPr>
      </w:pPr>
    </w:p>
    <w:p w:rsidR="00EB7D0D" w:rsidRDefault="00EB7D0D" w:rsidP="00EB7D0D">
      <w:pPr>
        <w:rPr>
          <w:rFonts w:ascii="Calibri" w:hAnsi="Calibri" w:cs="Calibri"/>
        </w:rPr>
      </w:pPr>
    </w:p>
    <w:p w:rsidR="00EB7D0D" w:rsidRDefault="00EB7D0D" w:rsidP="00EB7D0D">
      <w:pPr>
        <w:rPr>
          <w:rFonts w:ascii="Calibri" w:hAnsi="Calibri" w:cs="Calibri"/>
        </w:rPr>
      </w:pPr>
      <w:r w:rsidRPr="00EB7D0D">
        <w:rPr>
          <w:rFonts w:ascii="Calibri" w:hAnsi="Calibri" w:cs="Calibri"/>
          <w:noProof/>
        </w:rPr>
        <w:lastRenderedPageBreak/>
        <w:drawing>
          <wp:inline distT="0" distB="0" distL="0" distR="0">
            <wp:extent cx="3686175" cy="33808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035" cy="3390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D0D" w:rsidRDefault="00EB7D0D" w:rsidP="00EB7D0D">
      <w:pPr>
        <w:rPr>
          <w:rFonts w:ascii="Calibri" w:hAnsi="Calibri" w:cs="Calibri"/>
        </w:rPr>
      </w:pPr>
    </w:p>
    <w:p w:rsidR="00EB7D0D" w:rsidRDefault="00EB7D0D" w:rsidP="00EB7D0D">
      <w:pPr>
        <w:rPr>
          <w:rFonts w:ascii="Calibri" w:hAnsi="Calibri" w:cs="Calibri"/>
        </w:rPr>
      </w:pPr>
    </w:p>
    <w:sectPr w:rsidR="00EB7D0D" w:rsidSect="00207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attachedTemplate r:id="rId1"/>
  <w:defaultTabStop w:val="720"/>
  <w:characterSpacingControl w:val="doNotCompress"/>
  <w:compat/>
  <w:rsids>
    <w:rsidRoot w:val="00EB7D0D"/>
    <w:rsid w:val="00195DE0"/>
    <w:rsid w:val="00207331"/>
    <w:rsid w:val="00227BED"/>
    <w:rsid w:val="002C4EE4"/>
    <w:rsid w:val="00325B69"/>
    <w:rsid w:val="008C29A0"/>
    <w:rsid w:val="00924763"/>
    <w:rsid w:val="009A73E0"/>
    <w:rsid w:val="009B4EF3"/>
    <w:rsid w:val="00A10DDE"/>
    <w:rsid w:val="00A26563"/>
    <w:rsid w:val="00CB7155"/>
    <w:rsid w:val="00E636F5"/>
    <w:rsid w:val="00EB7D0D"/>
    <w:rsid w:val="00EC2EDE"/>
    <w:rsid w:val="00EE1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331"/>
  </w:style>
  <w:style w:type="paragraph" w:styleId="Heading1">
    <w:name w:val="heading 1"/>
    <w:basedOn w:val="Normal"/>
    <w:next w:val="Normal"/>
    <w:link w:val="Heading1Char"/>
    <w:uiPriority w:val="9"/>
    <w:qFormat/>
    <w:rsid w:val="002073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3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73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73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73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73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73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73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3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73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73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733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0733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20733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0733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2073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073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073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33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0733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0733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0733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07331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20733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0733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33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3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33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07331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0733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07331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2073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73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07331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207331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ly.66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11</TotalTime>
  <Pages>3</Pages>
  <Words>684</Words>
  <Characters>3665</Characters>
  <Application>Microsoft Office Word</Application>
  <DocSecurity>0</DocSecurity>
  <Lines>50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Daly, Marymegan</dc:creator>
  <cp:keywords/>
  <dc:description/>
  <cp:lastModifiedBy>Marymegan Daly</cp:lastModifiedBy>
  <cp:revision>5</cp:revision>
  <dcterms:created xsi:type="dcterms:W3CDTF">2015-04-23T22:27:00Z</dcterms:created>
  <dcterms:modified xsi:type="dcterms:W3CDTF">2015-10-16T17:50:00Z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